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6AA" w:rsidRPr="002160E7" w:rsidRDefault="009326AA" w:rsidP="009326AA">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Teritoriul Germaniei se întinde de la Marea Nordului și Marea Baltică, în nord, până la Munții Alpi, în sud. Germania este țara cu cel mai mare număr de locuitori din UE. Se învecinează cu Danemarca la nord, Polonia și Republica Cehă la est, Austria și Elveția la sud, Franța și Luxemburg la sud-vest, și Belgia și Țările de Jos la nord-vest. </w:t>
      </w:r>
    </w:p>
    <w:p w:rsidR="009326AA" w:rsidRPr="002160E7" w:rsidRDefault="009326AA" w:rsidP="009326AA">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În 2014, cele mai importante sectoare ale economiei Germaniei erau: industria (25,9 %); administrația publică, apărarea, educația, sănătatea și asistența socială (18,2 %) și comerțul cu ridicata și cu amănuntul, transporturile, serviciile de cazare și alimentație publică (15,5 %).</w:t>
      </w:r>
    </w:p>
    <w:p w:rsidR="009326AA" w:rsidRPr="002160E7" w:rsidRDefault="009326AA" w:rsidP="009326AA">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Principalii parteneri de export ai Germaniei sunt Franța, Statele Unite și Regatul Unit, iar cei de import sunt Țările de Jos, Franța și China.</w:t>
      </w:r>
    </w:p>
    <w:p w:rsidR="00386C8F" w:rsidRPr="002160E7" w:rsidRDefault="00386C8F" w:rsidP="005D5509">
      <w:pPr>
        <w:shd w:val="clear" w:color="auto" w:fill="FFFFFF"/>
        <w:spacing w:after="0" w:line="403" w:lineRule="atLeast"/>
        <w:rPr>
          <w:rFonts w:ascii="Times New Roman" w:eastAsia="Times New Roman" w:hAnsi="Times New Roman" w:cs="Times New Roman"/>
          <w:color w:val="404040"/>
          <w:sz w:val="28"/>
          <w:szCs w:val="28"/>
          <w:lang w:val="ro-RO"/>
        </w:rPr>
      </w:pP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Capitala: Berlin</w:t>
      </w:r>
      <w:bookmarkStart w:id="0" w:name="_GoBack"/>
      <w:bookmarkEnd w:id="0"/>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Suprafața: 357 340 km2</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Populația: 80 780 000 (2014)</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Populația ca procent din totalul populației UE: 15,9 % (2014)</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PIB: 2 904 miliarde EUR (2014)</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Limba oficială în UE: germană</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Sistem politic: republică parlamentară federală</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Stat membru UE de la: 1 ianuarie 1958</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Locuri în Parlamentul European: 96</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Moneda: Euro. Stat membru al </w:t>
      </w:r>
      <w:hyperlink r:id="rId7" w:history="1">
        <w:r w:rsidRPr="002160E7">
          <w:rPr>
            <w:rFonts w:ascii="Times New Roman" w:eastAsia="Times New Roman" w:hAnsi="Times New Roman" w:cs="Times New Roman"/>
            <w:color w:val="404040"/>
            <w:sz w:val="28"/>
            <w:szCs w:val="28"/>
            <w:lang w:val="ro-RO"/>
          </w:rPr>
          <w:t>zonei euro</w:t>
        </w:r>
      </w:hyperlink>
      <w:r w:rsidRPr="002160E7">
        <w:rPr>
          <w:rFonts w:ascii="Times New Roman" w:eastAsia="Times New Roman" w:hAnsi="Times New Roman" w:cs="Times New Roman"/>
          <w:color w:val="404040"/>
          <w:sz w:val="28"/>
          <w:szCs w:val="28"/>
          <w:lang w:val="ro-RO"/>
        </w:rPr>
        <w:t> de la 1 ianuarie 1999</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Posibilitatea de a călători fără pașaport: da - </w:t>
      </w:r>
      <w:hyperlink r:id="rId8" w:history="1">
        <w:r w:rsidRPr="002160E7">
          <w:rPr>
            <w:rFonts w:ascii="Times New Roman" w:eastAsia="Times New Roman" w:hAnsi="Times New Roman" w:cs="Times New Roman"/>
            <w:color w:val="404040"/>
            <w:sz w:val="28"/>
            <w:szCs w:val="28"/>
            <w:lang w:val="ro-RO"/>
          </w:rPr>
          <w:t>stat membru al spațiului Schengen</w:t>
        </w:r>
      </w:hyperlink>
      <w:r w:rsidRPr="002160E7">
        <w:rPr>
          <w:rFonts w:ascii="Times New Roman" w:eastAsia="Times New Roman" w:hAnsi="Times New Roman" w:cs="Times New Roman"/>
          <w:color w:val="404040"/>
          <w:sz w:val="28"/>
          <w:szCs w:val="28"/>
          <w:lang w:val="ro-RO"/>
        </w:rPr>
        <w:t> de la 26 martie 1995</w:t>
      </w:r>
    </w:p>
    <w:p w:rsidR="009326AA" w:rsidRPr="002160E7" w:rsidRDefault="009326AA" w:rsidP="005D5509">
      <w:pPr>
        <w:shd w:val="clear" w:color="auto" w:fill="FFFFFF"/>
        <w:spacing w:after="0" w:line="403" w:lineRule="atLeast"/>
        <w:rPr>
          <w:rFonts w:ascii="Times New Roman" w:eastAsia="Times New Roman" w:hAnsi="Times New Roman" w:cs="Times New Roman"/>
          <w:color w:val="404040"/>
          <w:sz w:val="28"/>
          <w:szCs w:val="28"/>
          <w:lang w:val="ro-RO"/>
        </w:rPr>
      </w:pPr>
      <w:r w:rsidRPr="002160E7">
        <w:rPr>
          <w:rFonts w:ascii="Times New Roman" w:eastAsia="Times New Roman" w:hAnsi="Times New Roman" w:cs="Times New Roman"/>
          <w:color w:val="404040"/>
          <w:sz w:val="28"/>
          <w:szCs w:val="28"/>
          <w:lang w:val="ro-RO"/>
        </w:rPr>
        <w:t>Președinția Consiliului:  Între anii 1958 și 2007, Germania a deținut </w:t>
      </w:r>
      <w:hyperlink r:id="rId9" w:history="1">
        <w:r w:rsidRPr="002160E7">
          <w:rPr>
            <w:rFonts w:ascii="Times New Roman" w:eastAsia="Times New Roman" w:hAnsi="Times New Roman" w:cs="Times New Roman"/>
            <w:color w:val="404040"/>
            <w:sz w:val="28"/>
            <w:szCs w:val="28"/>
            <w:lang w:val="ro-RO"/>
          </w:rPr>
          <w:t>președinția rotativă</w:t>
        </w:r>
      </w:hyperlink>
      <w:r w:rsidRPr="002160E7">
        <w:rPr>
          <w:rFonts w:ascii="Times New Roman" w:eastAsia="Times New Roman" w:hAnsi="Times New Roman" w:cs="Times New Roman"/>
          <w:color w:val="404040"/>
          <w:sz w:val="28"/>
          <w:szCs w:val="28"/>
          <w:lang w:val="ro-RO"/>
        </w:rPr>
        <w:t> de 11 ori.</w:t>
      </w:r>
    </w:p>
    <w:p w:rsidR="00E07933" w:rsidRPr="002160E7" w:rsidRDefault="00E07933" w:rsidP="005D5509">
      <w:pPr>
        <w:shd w:val="clear" w:color="auto" w:fill="FFFFFF"/>
        <w:spacing w:after="0" w:line="403" w:lineRule="atLeast"/>
        <w:rPr>
          <w:rFonts w:ascii="Times New Roman" w:eastAsia="Times New Roman" w:hAnsi="Times New Roman" w:cs="Times New Roman"/>
          <w:color w:val="404040"/>
          <w:sz w:val="28"/>
          <w:szCs w:val="28"/>
          <w:lang w:val="ro-RO"/>
        </w:rPr>
      </w:pPr>
    </w:p>
    <w:sectPr w:rsidR="00E07933" w:rsidRPr="00216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33433"/>
    <w:multiLevelType w:val="multilevel"/>
    <w:tmpl w:val="9106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ED5B5D"/>
    <w:multiLevelType w:val="multilevel"/>
    <w:tmpl w:val="A08A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B26471"/>
    <w:multiLevelType w:val="multilevel"/>
    <w:tmpl w:val="178E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0E3760"/>
    <w:multiLevelType w:val="multilevel"/>
    <w:tmpl w:val="3DAC6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B4D"/>
    <w:rsid w:val="0004120E"/>
    <w:rsid w:val="000C392D"/>
    <w:rsid w:val="0016765B"/>
    <w:rsid w:val="002160E7"/>
    <w:rsid w:val="0035712C"/>
    <w:rsid w:val="00386C8F"/>
    <w:rsid w:val="005D5509"/>
    <w:rsid w:val="009326AA"/>
    <w:rsid w:val="00B10DCE"/>
    <w:rsid w:val="00CD6E8C"/>
    <w:rsid w:val="00E07933"/>
    <w:rsid w:val="00F70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2">
    <w:name w:val="heading 2"/>
    <w:basedOn w:val="Normal"/>
    <w:next w:val="Normal"/>
    <w:link w:val="Titlu2Caracter"/>
    <w:uiPriority w:val="9"/>
    <w:semiHidden/>
    <w:unhideWhenUsed/>
    <w:qFormat/>
    <w:rsid w:val="00F70B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link w:val="Titlu3Caracter"/>
    <w:uiPriority w:val="9"/>
    <w:qFormat/>
    <w:rsid w:val="00F70B4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F70B4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70B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deparagrafimplicit"/>
    <w:uiPriority w:val="99"/>
    <w:semiHidden/>
    <w:unhideWhenUsed/>
    <w:rsid w:val="00F70B4D"/>
    <w:rPr>
      <w:color w:val="0000FF"/>
      <w:u w:val="single"/>
    </w:rPr>
  </w:style>
  <w:style w:type="character" w:customStyle="1" w:styleId="Titlu2Caracter">
    <w:name w:val="Titlu 2 Caracter"/>
    <w:basedOn w:val="Fontdeparagrafimplicit"/>
    <w:link w:val="Titlu2"/>
    <w:uiPriority w:val="9"/>
    <w:semiHidden/>
    <w:rsid w:val="00F70B4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Fontdeparagrafimplicit"/>
    <w:rsid w:val="00F70B4D"/>
  </w:style>
  <w:style w:type="paragraph" w:styleId="TextnBalon">
    <w:name w:val="Balloon Text"/>
    <w:basedOn w:val="Normal"/>
    <w:link w:val="TextnBalonCaracter"/>
    <w:uiPriority w:val="99"/>
    <w:semiHidden/>
    <w:unhideWhenUsed/>
    <w:rsid w:val="00F70B4D"/>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70B4D"/>
    <w:rPr>
      <w:rFonts w:ascii="Tahoma" w:hAnsi="Tahoma" w:cs="Tahoma"/>
      <w:sz w:val="16"/>
      <w:szCs w:val="16"/>
    </w:rPr>
  </w:style>
  <w:style w:type="character" w:styleId="Robust">
    <w:name w:val="Strong"/>
    <w:basedOn w:val="Fontdeparagrafimplicit"/>
    <w:uiPriority w:val="22"/>
    <w:qFormat/>
    <w:rsid w:val="00CD6E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2">
    <w:name w:val="heading 2"/>
    <w:basedOn w:val="Normal"/>
    <w:next w:val="Normal"/>
    <w:link w:val="Titlu2Caracter"/>
    <w:uiPriority w:val="9"/>
    <w:semiHidden/>
    <w:unhideWhenUsed/>
    <w:qFormat/>
    <w:rsid w:val="00F70B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link w:val="Titlu3Caracter"/>
    <w:uiPriority w:val="9"/>
    <w:qFormat/>
    <w:rsid w:val="00F70B4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uiPriority w:val="9"/>
    <w:rsid w:val="00F70B4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70B4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deparagrafimplicit"/>
    <w:uiPriority w:val="99"/>
    <w:semiHidden/>
    <w:unhideWhenUsed/>
    <w:rsid w:val="00F70B4D"/>
    <w:rPr>
      <w:color w:val="0000FF"/>
      <w:u w:val="single"/>
    </w:rPr>
  </w:style>
  <w:style w:type="character" w:customStyle="1" w:styleId="Titlu2Caracter">
    <w:name w:val="Titlu 2 Caracter"/>
    <w:basedOn w:val="Fontdeparagrafimplicit"/>
    <w:link w:val="Titlu2"/>
    <w:uiPriority w:val="9"/>
    <w:semiHidden/>
    <w:rsid w:val="00F70B4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Fontdeparagrafimplicit"/>
    <w:rsid w:val="00F70B4D"/>
  </w:style>
  <w:style w:type="paragraph" w:styleId="TextnBalon">
    <w:name w:val="Balloon Text"/>
    <w:basedOn w:val="Normal"/>
    <w:link w:val="TextnBalonCaracter"/>
    <w:uiPriority w:val="99"/>
    <w:semiHidden/>
    <w:unhideWhenUsed/>
    <w:rsid w:val="00F70B4D"/>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70B4D"/>
    <w:rPr>
      <w:rFonts w:ascii="Tahoma" w:hAnsi="Tahoma" w:cs="Tahoma"/>
      <w:sz w:val="16"/>
      <w:szCs w:val="16"/>
    </w:rPr>
  </w:style>
  <w:style w:type="character" w:styleId="Robust">
    <w:name w:val="Strong"/>
    <w:basedOn w:val="Fontdeparagrafimplicit"/>
    <w:uiPriority w:val="22"/>
    <w:qFormat/>
    <w:rsid w:val="00CD6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4482">
      <w:bodyDiv w:val="1"/>
      <w:marLeft w:val="0"/>
      <w:marRight w:val="0"/>
      <w:marTop w:val="0"/>
      <w:marBottom w:val="0"/>
      <w:divBdr>
        <w:top w:val="none" w:sz="0" w:space="0" w:color="auto"/>
        <w:left w:val="none" w:sz="0" w:space="0" w:color="auto"/>
        <w:bottom w:val="none" w:sz="0" w:space="0" w:color="auto"/>
        <w:right w:val="none" w:sz="0" w:space="0" w:color="auto"/>
      </w:divBdr>
      <w:divsChild>
        <w:div w:id="1158769261">
          <w:marLeft w:val="0"/>
          <w:marRight w:val="0"/>
          <w:marTop w:val="0"/>
          <w:marBottom w:val="225"/>
          <w:divBdr>
            <w:top w:val="none" w:sz="0" w:space="0" w:color="auto"/>
            <w:left w:val="none" w:sz="0" w:space="0" w:color="auto"/>
            <w:bottom w:val="none" w:sz="0" w:space="0" w:color="auto"/>
            <w:right w:val="none" w:sz="0" w:space="0" w:color="auto"/>
          </w:divBdr>
        </w:div>
      </w:divsChild>
    </w:div>
    <w:div w:id="188959027">
      <w:bodyDiv w:val="1"/>
      <w:marLeft w:val="0"/>
      <w:marRight w:val="0"/>
      <w:marTop w:val="0"/>
      <w:marBottom w:val="0"/>
      <w:divBdr>
        <w:top w:val="none" w:sz="0" w:space="0" w:color="auto"/>
        <w:left w:val="none" w:sz="0" w:space="0" w:color="auto"/>
        <w:bottom w:val="none" w:sz="0" w:space="0" w:color="auto"/>
        <w:right w:val="none" w:sz="0" w:space="0" w:color="auto"/>
      </w:divBdr>
      <w:divsChild>
        <w:div w:id="802773944">
          <w:marLeft w:val="0"/>
          <w:marRight w:val="0"/>
          <w:marTop w:val="0"/>
          <w:marBottom w:val="0"/>
          <w:divBdr>
            <w:top w:val="none" w:sz="0" w:space="0" w:color="auto"/>
            <w:left w:val="none" w:sz="0" w:space="0" w:color="auto"/>
            <w:bottom w:val="none" w:sz="0" w:space="0" w:color="auto"/>
            <w:right w:val="none" w:sz="0" w:space="0" w:color="auto"/>
          </w:divBdr>
        </w:div>
        <w:div w:id="1945844904">
          <w:marLeft w:val="0"/>
          <w:marRight w:val="0"/>
          <w:marTop w:val="450"/>
          <w:marBottom w:val="300"/>
          <w:divBdr>
            <w:top w:val="none" w:sz="0" w:space="0" w:color="auto"/>
            <w:left w:val="none" w:sz="0" w:space="0" w:color="auto"/>
            <w:bottom w:val="none" w:sz="0" w:space="0" w:color="auto"/>
            <w:right w:val="none" w:sz="0" w:space="0" w:color="auto"/>
          </w:divBdr>
          <w:divsChild>
            <w:div w:id="1054086373">
              <w:marLeft w:val="0"/>
              <w:marRight w:val="0"/>
              <w:marTop w:val="0"/>
              <w:marBottom w:val="150"/>
              <w:divBdr>
                <w:top w:val="none" w:sz="0" w:space="0" w:color="auto"/>
                <w:left w:val="none" w:sz="0" w:space="0" w:color="auto"/>
                <w:bottom w:val="none" w:sz="0" w:space="0" w:color="auto"/>
                <w:right w:val="none" w:sz="0" w:space="0" w:color="auto"/>
              </w:divBdr>
            </w:div>
            <w:div w:id="8178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365295">
      <w:bodyDiv w:val="1"/>
      <w:marLeft w:val="0"/>
      <w:marRight w:val="0"/>
      <w:marTop w:val="0"/>
      <w:marBottom w:val="0"/>
      <w:divBdr>
        <w:top w:val="none" w:sz="0" w:space="0" w:color="auto"/>
        <w:left w:val="none" w:sz="0" w:space="0" w:color="auto"/>
        <w:bottom w:val="none" w:sz="0" w:space="0" w:color="auto"/>
        <w:right w:val="none" w:sz="0" w:space="0" w:color="auto"/>
      </w:divBdr>
      <w:divsChild>
        <w:div w:id="1265921237">
          <w:marLeft w:val="0"/>
          <w:marRight w:val="0"/>
          <w:marTop w:val="0"/>
          <w:marBottom w:val="0"/>
          <w:divBdr>
            <w:top w:val="none" w:sz="0" w:space="0" w:color="auto"/>
            <w:left w:val="none" w:sz="0" w:space="0" w:color="auto"/>
            <w:bottom w:val="none" w:sz="0" w:space="0" w:color="auto"/>
            <w:right w:val="none" w:sz="0" w:space="0" w:color="auto"/>
          </w:divBdr>
        </w:div>
        <w:div w:id="559442428">
          <w:marLeft w:val="0"/>
          <w:marRight w:val="0"/>
          <w:marTop w:val="450"/>
          <w:marBottom w:val="300"/>
          <w:divBdr>
            <w:top w:val="none" w:sz="0" w:space="0" w:color="auto"/>
            <w:left w:val="none" w:sz="0" w:space="0" w:color="auto"/>
            <w:bottom w:val="none" w:sz="0" w:space="0" w:color="auto"/>
            <w:right w:val="none" w:sz="0" w:space="0" w:color="auto"/>
          </w:divBdr>
          <w:divsChild>
            <w:div w:id="1596551678">
              <w:marLeft w:val="0"/>
              <w:marRight w:val="0"/>
              <w:marTop w:val="0"/>
              <w:marBottom w:val="150"/>
              <w:divBdr>
                <w:top w:val="none" w:sz="0" w:space="0" w:color="auto"/>
                <w:left w:val="none" w:sz="0" w:space="0" w:color="auto"/>
                <w:bottom w:val="none" w:sz="0" w:space="0" w:color="auto"/>
                <w:right w:val="none" w:sz="0" w:space="0" w:color="auto"/>
              </w:divBdr>
            </w:div>
            <w:div w:id="121885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850284">
      <w:bodyDiv w:val="1"/>
      <w:marLeft w:val="0"/>
      <w:marRight w:val="0"/>
      <w:marTop w:val="0"/>
      <w:marBottom w:val="0"/>
      <w:divBdr>
        <w:top w:val="none" w:sz="0" w:space="0" w:color="auto"/>
        <w:left w:val="none" w:sz="0" w:space="0" w:color="auto"/>
        <w:bottom w:val="none" w:sz="0" w:space="0" w:color="auto"/>
        <w:right w:val="none" w:sz="0" w:space="0" w:color="auto"/>
      </w:divBdr>
      <w:divsChild>
        <w:div w:id="1770806590">
          <w:marLeft w:val="0"/>
          <w:marRight w:val="0"/>
          <w:marTop w:val="0"/>
          <w:marBottom w:val="0"/>
          <w:divBdr>
            <w:top w:val="none" w:sz="0" w:space="0" w:color="auto"/>
            <w:left w:val="none" w:sz="0" w:space="0" w:color="auto"/>
            <w:bottom w:val="none" w:sz="0" w:space="0" w:color="auto"/>
            <w:right w:val="none" w:sz="0" w:space="0" w:color="auto"/>
          </w:divBdr>
        </w:div>
      </w:divsChild>
    </w:div>
    <w:div w:id="1074934011">
      <w:bodyDiv w:val="1"/>
      <w:marLeft w:val="0"/>
      <w:marRight w:val="0"/>
      <w:marTop w:val="0"/>
      <w:marBottom w:val="0"/>
      <w:divBdr>
        <w:top w:val="none" w:sz="0" w:space="0" w:color="auto"/>
        <w:left w:val="none" w:sz="0" w:space="0" w:color="auto"/>
        <w:bottom w:val="none" w:sz="0" w:space="0" w:color="auto"/>
        <w:right w:val="none" w:sz="0" w:space="0" w:color="auto"/>
      </w:divBdr>
      <w:divsChild>
        <w:div w:id="1142113414">
          <w:marLeft w:val="0"/>
          <w:marRight w:val="0"/>
          <w:marTop w:val="0"/>
          <w:marBottom w:val="150"/>
          <w:divBdr>
            <w:top w:val="none" w:sz="0" w:space="0" w:color="auto"/>
            <w:left w:val="none" w:sz="0" w:space="0" w:color="auto"/>
            <w:bottom w:val="none" w:sz="0" w:space="0" w:color="auto"/>
            <w:right w:val="none" w:sz="0" w:space="0" w:color="auto"/>
          </w:divBdr>
        </w:div>
        <w:div w:id="1950963803">
          <w:marLeft w:val="0"/>
          <w:marRight w:val="0"/>
          <w:marTop w:val="0"/>
          <w:marBottom w:val="0"/>
          <w:divBdr>
            <w:top w:val="none" w:sz="0" w:space="0" w:color="auto"/>
            <w:left w:val="none" w:sz="0" w:space="0" w:color="auto"/>
            <w:bottom w:val="none" w:sz="0" w:space="0" w:color="auto"/>
            <w:right w:val="none" w:sz="0" w:space="0" w:color="auto"/>
          </w:divBdr>
        </w:div>
      </w:divsChild>
    </w:div>
    <w:div w:id="1384645838">
      <w:bodyDiv w:val="1"/>
      <w:marLeft w:val="0"/>
      <w:marRight w:val="0"/>
      <w:marTop w:val="0"/>
      <w:marBottom w:val="0"/>
      <w:divBdr>
        <w:top w:val="none" w:sz="0" w:space="0" w:color="auto"/>
        <w:left w:val="none" w:sz="0" w:space="0" w:color="auto"/>
        <w:bottom w:val="none" w:sz="0" w:space="0" w:color="auto"/>
        <w:right w:val="none" w:sz="0" w:space="0" w:color="auto"/>
      </w:divBdr>
    </w:div>
    <w:div w:id="1466312982">
      <w:bodyDiv w:val="1"/>
      <w:marLeft w:val="0"/>
      <w:marRight w:val="0"/>
      <w:marTop w:val="0"/>
      <w:marBottom w:val="0"/>
      <w:divBdr>
        <w:top w:val="none" w:sz="0" w:space="0" w:color="auto"/>
        <w:left w:val="none" w:sz="0" w:space="0" w:color="auto"/>
        <w:bottom w:val="none" w:sz="0" w:space="0" w:color="auto"/>
        <w:right w:val="none" w:sz="0" w:space="0" w:color="auto"/>
      </w:divBdr>
      <w:divsChild>
        <w:div w:id="1867012785">
          <w:marLeft w:val="0"/>
          <w:marRight w:val="0"/>
          <w:marTop w:val="225"/>
          <w:marBottom w:val="225"/>
          <w:divBdr>
            <w:top w:val="none" w:sz="0" w:space="0" w:color="auto"/>
            <w:left w:val="none" w:sz="0" w:space="0" w:color="auto"/>
            <w:bottom w:val="none" w:sz="0" w:space="0" w:color="auto"/>
            <w:right w:val="none" w:sz="0" w:space="0" w:color="auto"/>
          </w:divBdr>
        </w:div>
      </w:divsChild>
    </w:div>
    <w:div w:id="2046056305">
      <w:bodyDiv w:val="1"/>
      <w:marLeft w:val="0"/>
      <w:marRight w:val="0"/>
      <w:marTop w:val="0"/>
      <w:marBottom w:val="0"/>
      <w:divBdr>
        <w:top w:val="none" w:sz="0" w:space="0" w:color="auto"/>
        <w:left w:val="none" w:sz="0" w:space="0" w:color="auto"/>
        <w:bottom w:val="none" w:sz="0" w:space="0" w:color="auto"/>
        <w:right w:val="none" w:sz="0" w:space="0" w:color="auto"/>
      </w:divBdr>
    </w:div>
    <w:div w:id="2092389642">
      <w:bodyDiv w:val="1"/>
      <w:marLeft w:val="0"/>
      <w:marRight w:val="0"/>
      <w:marTop w:val="0"/>
      <w:marBottom w:val="0"/>
      <w:divBdr>
        <w:top w:val="none" w:sz="0" w:space="0" w:color="auto"/>
        <w:left w:val="none" w:sz="0" w:space="0" w:color="auto"/>
        <w:bottom w:val="none" w:sz="0" w:space="0" w:color="auto"/>
        <w:right w:val="none" w:sz="0" w:space="0" w:color="auto"/>
      </w:divBdr>
      <w:divsChild>
        <w:div w:id="1101070778">
          <w:marLeft w:val="0"/>
          <w:marRight w:val="0"/>
          <w:marTop w:val="0"/>
          <w:marBottom w:val="0"/>
          <w:divBdr>
            <w:top w:val="none" w:sz="0" w:space="0" w:color="auto"/>
            <w:left w:val="none" w:sz="0" w:space="0" w:color="auto"/>
            <w:bottom w:val="none" w:sz="0" w:space="0" w:color="auto"/>
            <w:right w:val="none" w:sz="0" w:space="0" w:color="auto"/>
          </w:divBdr>
        </w:div>
        <w:div w:id="1820532151">
          <w:marLeft w:val="0"/>
          <w:marRight w:val="0"/>
          <w:marTop w:val="450"/>
          <w:marBottom w:val="300"/>
          <w:divBdr>
            <w:top w:val="none" w:sz="0" w:space="0" w:color="auto"/>
            <w:left w:val="none" w:sz="0" w:space="0" w:color="auto"/>
            <w:bottom w:val="none" w:sz="0" w:space="0" w:color="auto"/>
            <w:right w:val="none" w:sz="0" w:space="0" w:color="auto"/>
          </w:divBdr>
          <w:divsChild>
            <w:div w:id="1192450634">
              <w:marLeft w:val="0"/>
              <w:marRight w:val="0"/>
              <w:marTop w:val="0"/>
              <w:marBottom w:val="150"/>
              <w:divBdr>
                <w:top w:val="none" w:sz="0" w:space="0" w:color="auto"/>
                <w:left w:val="none" w:sz="0" w:space="0" w:color="auto"/>
                <w:bottom w:val="none" w:sz="0" w:space="0" w:color="auto"/>
                <w:right w:val="none" w:sz="0" w:space="0" w:color="auto"/>
              </w:divBdr>
            </w:div>
            <w:div w:id="204605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dgs/home-affairs/what-we-do/policies/borders-and-visas/schengen/index_ro.htm" TargetMode="External"/><Relationship Id="rId3" Type="http://schemas.openxmlformats.org/officeDocument/2006/relationships/styles" Target="styles.xml"/><Relationship Id="rId7" Type="http://schemas.openxmlformats.org/officeDocument/2006/relationships/hyperlink" Target="http://ec.europa.eu/economy_finance/euro/index_ro.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onsilium.europa.eu/ro/council-eu/presidency-council-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01AB5-32FC-48F9-8DE1-E8393932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238</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NB5</cp:lastModifiedBy>
  <cp:revision>5</cp:revision>
  <dcterms:created xsi:type="dcterms:W3CDTF">2016-02-13T15:25:00Z</dcterms:created>
  <dcterms:modified xsi:type="dcterms:W3CDTF">2016-03-21T19:39:00Z</dcterms:modified>
</cp:coreProperties>
</file>